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E32356" w:rsidTr="007D26A2">
        <w:trPr>
          <w:trHeight w:hRule="exact" w:val="907"/>
        </w:trPr>
        <w:tc>
          <w:tcPr>
            <w:tcW w:w="9286" w:type="dxa"/>
            <w:hideMark/>
          </w:tcPr>
          <w:p w:rsidR="00182990" w:rsidRPr="008808E4" w:rsidRDefault="00F150B2" w:rsidP="000F3C3F">
            <w:pPr>
              <w:ind w:right="3415"/>
              <w:jc w:val="center"/>
              <w:rPr>
                <w:caps/>
                <w:sz w:val="22"/>
                <w:szCs w:val="22"/>
              </w:rPr>
            </w:pPr>
            <w:bookmarkStart w:id="0" w:name="_GoBack"/>
            <w:bookmarkEnd w:id="0"/>
            <w:r w:rsidRPr="008808E4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2990" w:rsidRPr="008808E4" w:rsidRDefault="00F150B2" w:rsidP="000F3C3F">
      <w:pPr>
        <w:spacing w:after="0"/>
        <w:ind w:right="3415"/>
        <w:jc w:val="center"/>
        <w:rPr>
          <w:rFonts w:ascii="Times New Roman" w:hAnsi="Times New Roman" w:cs="Times New Roman"/>
          <w:caps/>
        </w:rPr>
      </w:pPr>
      <w:r w:rsidRPr="008808E4">
        <w:rPr>
          <w:rFonts w:ascii="Times New Roman" w:hAnsi="Times New Roman" w:cs="Times New Roman"/>
          <w:caps/>
        </w:rPr>
        <w:t>Republika Hrvatska</w:t>
      </w:r>
    </w:p>
    <w:p w:rsidR="00182990" w:rsidRPr="008808E4" w:rsidRDefault="00F150B2" w:rsidP="000F3C3F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8808E4">
        <w:rPr>
          <w:rFonts w:ascii="Times New Roman" w:hAnsi="Times New Roman" w:cs="Times New Roman"/>
          <w:caps/>
        </w:rPr>
        <w:t>Grad Zagreb</w:t>
      </w:r>
    </w:p>
    <w:p w:rsidR="00182990" w:rsidRPr="008808E4" w:rsidRDefault="00F150B2" w:rsidP="000F3C3F">
      <w:pPr>
        <w:spacing w:after="0"/>
        <w:ind w:right="3415"/>
        <w:jc w:val="center"/>
        <w:rPr>
          <w:rFonts w:ascii="Times New Roman" w:hAnsi="Times New Roman" w:cs="Times New Roman"/>
          <w:b/>
        </w:rPr>
      </w:pPr>
      <w:r w:rsidRPr="008808E4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081D29" w:rsidRPr="008808E4" w:rsidRDefault="00F150B2" w:rsidP="00081D29">
      <w:pPr>
        <w:spacing w:after="0"/>
        <w:ind w:right="3415"/>
        <w:jc w:val="center"/>
        <w:rPr>
          <w:rFonts w:ascii="Times New Roman" w:hAnsi="Times New Roman"/>
        </w:rPr>
      </w:pPr>
      <w:r w:rsidRPr="008808E4">
        <w:rPr>
          <w:rFonts w:ascii="Times New Roman" w:hAnsi="Times New Roman"/>
          <w:noProof/>
        </w:rPr>
        <w:t>Odjel</w:t>
      </w:r>
      <w:r w:rsidRPr="008808E4">
        <w:rPr>
          <w:rFonts w:ascii="Times New Roman" w:hAnsi="Times New Roman" w:cs="Times New Roman"/>
        </w:rPr>
        <w:t xml:space="preserve"> za</w:t>
      </w:r>
      <w:r w:rsidRPr="008808E4">
        <w:rPr>
          <w:rFonts w:ascii="Times New Roman" w:hAnsi="Times New Roman"/>
        </w:rPr>
        <w:t xml:space="preserve"> graditeljstvo </w:t>
      </w:r>
    </w:p>
    <w:p w:rsidR="00081D29" w:rsidRPr="008808E4" w:rsidRDefault="00F150B2" w:rsidP="00081D29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8808E4">
        <w:rPr>
          <w:rFonts w:ascii="Times New Roman" w:hAnsi="Times New Roman" w:cs="Times New Roman"/>
        </w:rPr>
        <w:t>Središnji odsjek za graditeljstvo</w:t>
      </w:r>
    </w:p>
    <w:p w:rsidR="00182990" w:rsidRPr="008808E4" w:rsidRDefault="00F150B2" w:rsidP="00081D29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8808E4">
        <w:rPr>
          <w:rFonts w:ascii="Times New Roman" w:hAnsi="Times New Roman" w:cs="Times New Roman"/>
        </w:rPr>
        <w:t>Trg Stjepana Radića 1, Zagreb</w:t>
      </w:r>
    </w:p>
    <w:p w:rsidR="00182990" w:rsidRPr="008808E4" w:rsidRDefault="00F150B2" w:rsidP="00081D29">
      <w:pPr>
        <w:spacing w:after="0"/>
        <w:ind w:right="3415"/>
        <w:jc w:val="center"/>
        <w:rPr>
          <w:rFonts w:ascii="Times New Roman" w:hAnsi="Times New Roman" w:cs="Times New Roman"/>
        </w:rPr>
      </w:pPr>
    </w:p>
    <w:p w:rsidR="00182990" w:rsidRPr="008808E4" w:rsidRDefault="00F150B2" w:rsidP="000F3C3F">
      <w:pPr>
        <w:spacing w:after="0"/>
        <w:ind w:right="5386"/>
        <w:rPr>
          <w:rFonts w:ascii="Times New Roman" w:hAnsi="Times New Roman" w:cs="Times New Roman"/>
        </w:rPr>
      </w:pPr>
    </w:p>
    <w:p w:rsidR="00081D29" w:rsidRPr="008808E4" w:rsidRDefault="00F150B2" w:rsidP="00081D2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808E4">
        <w:rPr>
          <w:rFonts w:ascii="Times New Roman" w:hAnsi="Times New Roman"/>
        </w:rPr>
        <w:t xml:space="preserve">Klasa: </w:t>
      </w:r>
      <w:r w:rsidRPr="008808E4">
        <w:rPr>
          <w:rFonts w:ascii="Times New Roman" w:hAnsi="Times New Roman"/>
          <w:noProof/>
        </w:rPr>
        <w:t>UP/I-361-03</w:t>
      </w:r>
      <w:r w:rsidRPr="008808E4">
        <w:rPr>
          <w:rFonts w:ascii="Times New Roman" w:hAnsi="Times New Roman"/>
        </w:rPr>
        <w:t>/16-001/1289</w:t>
      </w:r>
    </w:p>
    <w:p w:rsidR="00081D29" w:rsidRPr="008808E4" w:rsidRDefault="00F150B2" w:rsidP="00081D2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808E4">
        <w:rPr>
          <w:rFonts w:ascii="Times New Roman" w:hAnsi="Times New Roman"/>
        </w:rPr>
        <w:t xml:space="preserve">Ur. broj: </w:t>
      </w:r>
      <w:r w:rsidRPr="008808E4">
        <w:rPr>
          <w:rFonts w:ascii="Times New Roman" w:hAnsi="Times New Roman"/>
          <w:noProof/>
        </w:rPr>
        <w:t>251-13-22-1/050-17-4</w:t>
      </w:r>
    </w:p>
    <w:p w:rsidR="00182990" w:rsidRPr="008808E4" w:rsidRDefault="00F150B2" w:rsidP="00081D29">
      <w:pPr>
        <w:spacing w:after="0"/>
        <w:ind w:right="5386"/>
        <w:rPr>
          <w:rFonts w:ascii="Times New Roman" w:hAnsi="Times New Roman" w:cs="Times New Roman"/>
        </w:rPr>
      </w:pPr>
      <w:r w:rsidRPr="008808E4">
        <w:rPr>
          <w:rFonts w:ascii="Times New Roman" w:hAnsi="Times New Roman"/>
        </w:rPr>
        <w:t xml:space="preserve">Zagreb, </w:t>
      </w:r>
      <w:r w:rsidRPr="008808E4">
        <w:rPr>
          <w:rFonts w:ascii="Times New Roman" w:hAnsi="Times New Roman"/>
          <w:noProof/>
        </w:rPr>
        <w:t>10.1.2017.</w:t>
      </w:r>
    </w:p>
    <w:p w:rsidR="00182990" w:rsidRPr="008211C4" w:rsidRDefault="00F150B2" w:rsidP="000F3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 xml:space="preserve">Gradski ured za prostorno uređenje, izgradnju grada, graditeljstvo, komunalne poslove i promet, Odjel za graditeljstvo, Središnji odsjek za graditeljstvo, rješavajući po zahtjevu Grada Zagreba, (OIB 61817894937), Zagreb, Trg Stjepana Radića 1., zastupanog </w:t>
      </w:r>
      <w:r w:rsidRPr="008808E4">
        <w:rPr>
          <w:rFonts w:ascii="Times New Roman" w:eastAsia="Times New Roman" w:hAnsi="Times New Roman" w:cs="Times New Roman"/>
          <w:color w:val="000000"/>
        </w:rPr>
        <w:t>po Alanu Ordulju d. i. prom.,  temeljem članka 99. stavak 1. Zakona o gradnji („Narodne novine“ broj 153/2013), izdaje sljedeću: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808E4">
        <w:rPr>
          <w:rFonts w:ascii="Times New Roman" w:eastAsia="Times New Roman" w:hAnsi="Times New Roman" w:cs="Times New Roman"/>
          <w:b/>
          <w:bCs/>
          <w:color w:val="000000"/>
        </w:rPr>
        <w:t>GRAĐEVINSKU DOZVOLU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1. Dozvoljava se Gradu Zagrebu, izgradnja servisnog puta od stacionaže 0+000.0 do stacionaže 0+029.0 na n</w:t>
      </w:r>
      <w:r w:rsidRPr="008808E4">
        <w:rPr>
          <w:rFonts w:ascii="Times New Roman" w:eastAsia="Times New Roman" w:hAnsi="Times New Roman" w:cs="Times New Roman"/>
          <w:color w:val="000000"/>
        </w:rPr>
        <w:t>ovoformiranoj k. č. br. 3959/ 3 k. o. Črnomerec (nastaloj od k. č. br. 3959 k. o. Črnomerec), kao 14. faze etape II regulacije potoka Črnomerec – Velikog potoka, gradnje sabirnog kanala, geotehničkih građevina i servisnog puta u zoni potoka Črnomerec od kr</w:t>
      </w:r>
      <w:r w:rsidRPr="008808E4">
        <w:rPr>
          <w:rFonts w:ascii="Times New Roman" w:eastAsia="Times New Roman" w:hAnsi="Times New Roman" w:cs="Times New Roman"/>
          <w:color w:val="000000"/>
        </w:rPr>
        <w:t xml:space="preserve">aja Ulice Črnomerečki potok do brane Črnomerec. 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Izgradnja se dozvoljava u skladu s glavnim projektom ZOP 4643-3/15.GS-GP, TD 102-41/2015 izrađenim po  trgovačkom društvu Hidrokonzalt projektiranje d. o. o. u listopadu 2015.;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2. Ova dozvola prestaje važit</w:t>
      </w:r>
      <w:r w:rsidRPr="008808E4">
        <w:rPr>
          <w:rFonts w:ascii="Times New Roman" w:eastAsia="Times New Roman" w:hAnsi="Times New Roman" w:cs="Times New Roman"/>
          <w:color w:val="000000"/>
        </w:rPr>
        <w:t>i ako investitor ne pristupi građenju u roku od tri godine od dana pravomoćnosti iste.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3. Investitor je dužan ovom tijelu prijaviti početak građenja najkasnije osam dana prije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početka građenja.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8808E4">
        <w:rPr>
          <w:rFonts w:ascii="Times New Roman" w:eastAsia="Times New Roman" w:hAnsi="Times New Roman" w:cs="Times New Roman"/>
          <w:lang w:eastAsia="en-US"/>
        </w:rPr>
        <w:t xml:space="preserve">4. Građevinska dozvola nema pravnih učinaka na vlasništvo i </w:t>
      </w:r>
      <w:r w:rsidRPr="008808E4">
        <w:rPr>
          <w:rFonts w:ascii="Times New Roman" w:eastAsia="Times New Roman" w:hAnsi="Times New Roman" w:cs="Times New Roman"/>
          <w:lang w:eastAsia="en-US"/>
        </w:rPr>
        <w:t xml:space="preserve">druga stvarna prava na nekretnini za koju je izdana i ne predstavlja pravnu osnovu za ulazak u posjed nekretnine. 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808E4">
        <w:rPr>
          <w:rFonts w:ascii="Times New Roman" w:eastAsia="Times New Roman" w:hAnsi="Times New Roman" w:cs="Times New Roman"/>
          <w:b/>
          <w:bCs/>
          <w:color w:val="000000"/>
        </w:rPr>
        <w:t>OBRAZLOŽENJE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Grad Zagreb, (OIB 61817894937), Zagreb, Trg Stjepana Radića 1., zastupan po Alanu Ordulju</w:t>
      </w:r>
      <w:r w:rsidRPr="008808E4">
        <w:rPr>
          <w:rFonts w:ascii="Times New Roman" w:eastAsia="Times New Roman" w:hAnsi="Times New Roman" w:cs="Times New Roman"/>
          <w:color w:val="000000"/>
        </w:rPr>
        <w:t xml:space="preserve"> d. i. prom. je dana 14. 10. 2016. godine podnio zahtjev za izdavanje građevinske dozvole za izgradnju servisnog puta od stacionaže 0+000.0 do stacionaže 0+227.5 kao 14. i 15. faze etape II regulacije potoka Črnomerec – Velikog potoka, gradnje sabirnog kan</w:t>
      </w:r>
      <w:r w:rsidRPr="008808E4">
        <w:rPr>
          <w:rFonts w:ascii="Times New Roman" w:eastAsia="Times New Roman" w:hAnsi="Times New Roman" w:cs="Times New Roman"/>
          <w:color w:val="000000"/>
        </w:rPr>
        <w:t>ala, geotehničkih građevina i servisnog puta u zoni potoka Črnomerec od kraja Ulice Črnomerečki potok do brane Črnomerec, na temelju pravomoćne lokacijske dozvole Klasa: UP/I-350-05/15-01/116, Urbroj: 251-13-21/108-2015-22 od 27. 7. 2015. godine. Zahtjev j</w:t>
      </w:r>
      <w:r w:rsidRPr="008808E4">
        <w:rPr>
          <w:rFonts w:ascii="Times New Roman" w:eastAsia="Times New Roman" w:hAnsi="Times New Roman" w:cs="Times New Roman"/>
          <w:color w:val="000000"/>
        </w:rPr>
        <w:t xml:space="preserve">e 26. 10. 2016. izmijenjen na način da se isti odnosi na izgradnju </w:t>
      </w:r>
      <w:r w:rsidRPr="008808E4">
        <w:rPr>
          <w:rFonts w:ascii="Times New Roman" w:eastAsia="Times New Roman" w:hAnsi="Times New Roman" w:cs="Times New Roman"/>
          <w:color w:val="000000"/>
        </w:rPr>
        <w:lastRenderedPageBreak/>
        <w:t xml:space="preserve">servisnog puta od stacionaže 0+000.0 do stacionaže 0+029.0 na novoformiranoj k. č. br. 3959/ 3, kao 14. faze etape II navedene složene građevine. 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Za izgradnju korita vodotoka od stacionaže</w:t>
      </w:r>
      <w:r w:rsidRPr="008808E4">
        <w:rPr>
          <w:rFonts w:ascii="Times New Roman" w:eastAsia="Times New Roman" w:hAnsi="Times New Roman" w:cs="Times New Roman"/>
          <w:color w:val="000000"/>
        </w:rPr>
        <w:t xml:space="preserve"> 0+369,60 do stacionaže 0+458,00, na novoformiranim k. č. br. 3959/ 3 i k. č. br. 3959/1 k. o. Črnomerec (nastalim od k. č. br. 3959 i 431 k. o. Črnomerec) i na novoformiranoj k. č. br. 4884/2 k. o. Mikulići (nastaloj od k. č. br. 4882/5, 4884 i 4886 k. o.</w:t>
      </w:r>
      <w:r w:rsidRPr="008808E4">
        <w:rPr>
          <w:rFonts w:ascii="Times New Roman" w:eastAsia="Times New Roman" w:hAnsi="Times New Roman" w:cs="Times New Roman"/>
          <w:color w:val="000000"/>
        </w:rPr>
        <w:t xml:space="preserve"> Mikulići), kao 1. i. 2. faze etape I regulacije potoka Črnomerec – Velikog potoka, gradnje sabirnog kanala, geotehničkih građevina i servisnog puta u zoni potoka Črnomerec od kraja Ulice Črnomerečki potok do brane Črnomerec izdana je Građevinska dozvola K</w:t>
      </w:r>
      <w:r w:rsidRPr="008808E4">
        <w:rPr>
          <w:rFonts w:ascii="Times New Roman" w:eastAsia="Times New Roman" w:hAnsi="Times New Roman" w:cs="Times New Roman"/>
          <w:color w:val="000000"/>
        </w:rPr>
        <w:t xml:space="preserve">l. Up/I-361-03/16-001/1253, Urbroj: 251-13-22-1/050-16-6 od 14. 12. 2016., pravomoćna dana 10. 1. 2017.    </w:t>
      </w:r>
    </w:p>
    <w:p w:rsidR="008808E4" w:rsidRPr="008808E4" w:rsidRDefault="00F150B2" w:rsidP="008808E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ab/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Uz zahtjev za izdavanje građevinske dozvole investitor je priložio: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1. Tri primjerka glavnog projekta navedenog u točki 1. izreke s izjavom proje</w:t>
      </w:r>
      <w:r w:rsidRPr="008808E4">
        <w:rPr>
          <w:rFonts w:ascii="Times New Roman" w:eastAsia="Times New Roman" w:hAnsi="Times New Roman" w:cs="Times New Roman"/>
          <w:color w:val="000000"/>
        </w:rPr>
        <w:t>ktanta da je glavni projekt izrađen u skladu s lokacijskom dozvolom i drugim propisima u skladu s kojima mora biti izrađen;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</w:rPr>
      </w:pPr>
      <w:r w:rsidRPr="008808E4">
        <w:rPr>
          <w:rFonts w:ascii="Times New Roman" w:eastAsia="Times New Roman" w:hAnsi="Times New Roman" w:cs="Times New Roman"/>
          <w:noProof/>
        </w:rPr>
        <w:t>2. Potvrde javnopravnih tijela da je glavni projekt izrađen u skladu s posebnim propisima, odnosno posebnim uvjetima i to:</w:t>
      </w:r>
    </w:p>
    <w:p w:rsidR="008808E4" w:rsidRPr="008808E4" w:rsidRDefault="00F150B2" w:rsidP="008808E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8808E4">
        <w:rPr>
          <w:rFonts w:ascii="Times New Roman" w:eastAsia="Times New Roman" w:hAnsi="Times New Roman" w:cs="Times New Roman"/>
          <w:noProof/>
        </w:rPr>
        <w:t>HEP Oper</w:t>
      </w:r>
      <w:r w:rsidRPr="008808E4">
        <w:rPr>
          <w:rFonts w:ascii="Times New Roman" w:eastAsia="Times New Roman" w:hAnsi="Times New Roman" w:cs="Times New Roman"/>
          <w:noProof/>
        </w:rPr>
        <w:t xml:space="preserve">atora distribucijskog sustava d. o. o., Br.  4/01-1.1-62979/15-5550-KM-31360/15 od 7. 12. 2015. </w:t>
      </w:r>
    </w:p>
    <w:p w:rsidR="008808E4" w:rsidRPr="008808E4" w:rsidRDefault="00F150B2" w:rsidP="008808E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8808E4">
        <w:rPr>
          <w:rFonts w:ascii="Times New Roman" w:eastAsia="Times New Roman" w:hAnsi="Times New Roman" w:cs="Times New Roman"/>
          <w:noProof/>
        </w:rPr>
        <w:t xml:space="preserve">Vodoopskrbe i odvodnje, Oznaka VIO-06-01-15-3896, Urbroj: 00-15-001 od 8. 12. 2015.  </w:t>
      </w:r>
    </w:p>
    <w:p w:rsidR="008808E4" w:rsidRPr="008808E4" w:rsidRDefault="00F150B2" w:rsidP="008808E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8808E4">
        <w:rPr>
          <w:rFonts w:ascii="Times New Roman" w:eastAsia="Times New Roman" w:hAnsi="Times New Roman" w:cs="Times New Roman"/>
          <w:noProof/>
        </w:rPr>
        <w:t xml:space="preserve">Vodoopskrbe i odvodnje, od 16. 5. 2016.   </w:t>
      </w:r>
    </w:p>
    <w:p w:rsidR="008808E4" w:rsidRPr="008808E4" w:rsidRDefault="00F150B2" w:rsidP="008808E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8808E4">
        <w:rPr>
          <w:rFonts w:ascii="Times New Roman" w:eastAsia="Times New Roman" w:hAnsi="Times New Roman" w:cs="Times New Roman"/>
          <w:noProof/>
        </w:rPr>
        <w:t xml:space="preserve">Hrvatskih voda Kl: 325-01/15-07/0004513, Urbroj: 374-25-1-16-2 od 25. 5. 2016. </w:t>
      </w:r>
    </w:p>
    <w:p w:rsidR="008808E4" w:rsidRPr="008808E4" w:rsidRDefault="00F150B2" w:rsidP="008808E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8808E4">
        <w:rPr>
          <w:rFonts w:ascii="Times New Roman" w:eastAsia="Times New Roman" w:hAnsi="Times New Roman" w:cs="Times New Roman"/>
          <w:noProof/>
        </w:rPr>
        <w:t xml:space="preserve">Hrvatskih šuma d. o. o. Urbroj: ZG-06-15-1979/02-ĐBS od 23. 11. 2015. </w:t>
      </w:r>
    </w:p>
    <w:p w:rsidR="008808E4" w:rsidRPr="008808E4" w:rsidRDefault="00F150B2" w:rsidP="008808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</w:rPr>
      </w:pPr>
    </w:p>
    <w:p w:rsidR="008808E4" w:rsidRPr="008808E4" w:rsidRDefault="00F150B2" w:rsidP="008808E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3"/>
          <w:lang w:eastAsia="en-US"/>
        </w:rPr>
      </w:pPr>
      <w:r w:rsidRPr="008808E4">
        <w:rPr>
          <w:rFonts w:ascii="Times New Roman" w:eastAsia="Times New Roman" w:hAnsi="Times New Roman" w:cs="Times New Roman"/>
          <w:color w:val="000000"/>
        </w:rPr>
        <w:tab/>
        <w:t xml:space="preserve">3. 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>Dokaz pravnog interesa  investitora za izdavanje građevinske dozvole ETAPA II – izgradnja servisnog puta i geotehničkih objekata, 14. FAZA (stacionaža od 0+000,0 do 0+029,0)  koja se sastoji u izgradnju servisnog puta nad zacjevljenjenim postojećim koritom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 xml:space="preserve">  potoka  na dijelu </w:t>
      </w:r>
      <w:r w:rsidRPr="008808E4">
        <w:rPr>
          <w:rFonts w:ascii="Times New Roman" w:eastAsia="Times New Roman" w:hAnsi="Times New Roman" w:cs="Times New Roman"/>
          <w:b/>
          <w:noProof/>
          <w:spacing w:val="-3"/>
          <w:lang w:eastAsia="en-US"/>
        </w:rPr>
        <w:t xml:space="preserve">k.č.br.3959 k.o.Črnomerec 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>/odnosno formiranoj k.č.br.3959/3, k.o.Črnomerec</w:t>
      </w:r>
      <w:r w:rsidRPr="008808E4">
        <w:rPr>
          <w:rFonts w:ascii="Times New Roman" w:eastAsia="Times New Roman" w:hAnsi="Times New Roman" w:cs="Times New Roman"/>
          <w:b/>
          <w:noProof/>
          <w:spacing w:val="-3"/>
          <w:lang w:eastAsia="en-US"/>
        </w:rPr>
        <w:t xml:space="preserve">/,  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 xml:space="preserve">u naravi javno dobro vode,                </w:t>
      </w:r>
      <w:r w:rsidRPr="008808E4">
        <w:rPr>
          <w:rFonts w:ascii="Times New Roman" w:eastAsia="Times New Roman" w:hAnsi="Times New Roman" w:cs="Times New Roman"/>
          <w:i/>
          <w:noProof/>
          <w:spacing w:val="-3"/>
          <w:lang w:eastAsia="en-US"/>
        </w:rPr>
        <w:t>/ e-izvadak iz zemljišne knjige</w:t>
      </w:r>
      <w:r w:rsidRPr="008808E4">
        <w:rPr>
          <w:rFonts w:ascii="Times New Roman" w:eastAsia="Times New Roman" w:hAnsi="Times New Roman" w:cs="Times New Roman"/>
          <w:b/>
          <w:i/>
          <w:noProof/>
          <w:spacing w:val="-3"/>
          <w:lang w:eastAsia="en-US"/>
        </w:rPr>
        <w:t xml:space="preserve"> </w:t>
      </w:r>
      <w:r w:rsidRPr="008808E4">
        <w:rPr>
          <w:rFonts w:ascii="Times New Roman" w:eastAsia="Times New Roman" w:hAnsi="Times New Roman" w:cs="Times New Roman"/>
          <w:i/>
          <w:noProof/>
          <w:spacing w:val="-3"/>
          <w:lang w:eastAsia="en-US"/>
        </w:rPr>
        <w:t>z.k.ul.br.25, k.o.Grad Zagreb  za z.k.č.br.8994/1, u naravi potok na kojem je upisan</w:t>
      </w:r>
      <w:r w:rsidRPr="008808E4">
        <w:rPr>
          <w:rFonts w:ascii="Times New Roman" w:eastAsia="Times New Roman" w:hAnsi="Times New Roman" w:cs="Times New Roman"/>
          <w:i/>
          <w:noProof/>
          <w:spacing w:val="-3"/>
          <w:lang w:eastAsia="en-US"/>
        </w:rPr>
        <w:t xml:space="preserve">a općenarodna imovina/ 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>:</w:t>
      </w:r>
    </w:p>
    <w:p w:rsidR="008808E4" w:rsidRPr="008808E4" w:rsidRDefault="00F150B2" w:rsidP="008808E4">
      <w:pPr>
        <w:widowControl w:val="0"/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noProof/>
          <w:spacing w:val="-3"/>
          <w:lang w:eastAsia="en-US"/>
        </w:rPr>
      </w:pPr>
      <w:r w:rsidRPr="008808E4">
        <w:rPr>
          <w:rFonts w:ascii="Times New Roman" w:eastAsia="Times New Roman" w:hAnsi="Times New Roman" w:cs="Times New Roman"/>
          <w:b/>
          <w:noProof/>
          <w:spacing w:val="-3"/>
          <w:lang w:eastAsia="en-US"/>
        </w:rPr>
        <w:t>Rješenje KLASA:UP/I-325-01/16-16/463, UR.BR:374-25-4-16-2 od 5.10.2016. Hrvatskih voda, Vodnogospodarskog odjela za Gornju Savu kojim je osnovano pravo građenja u korist Grada Zagreba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 xml:space="preserve"> radi izgradnje servisnog puta nadsvođenjem vodo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>toka potoka u površini od 194m</w:t>
      </w:r>
      <w:r w:rsidRPr="008808E4">
        <w:rPr>
          <w:rFonts w:ascii="Times New Roman" w:eastAsia="Times New Roman" w:hAnsi="Times New Roman" w:cs="Times New Roman"/>
          <w:noProof/>
          <w:spacing w:val="-3"/>
          <w:vertAlign w:val="superscript"/>
          <w:lang w:eastAsia="en-US"/>
        </w:rPr>
        <w:t>2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 xml:space="preserve"> radi regulacije potoka Črnomerec – Veliki potok na dijelu z.k.č.br.8994/1, k.o. Grad Zagreb /pravo građenja ucrtano je na geodetskoj situaciji u širini od 0.0 do 3.5metara, a dužine 75m; Hrvatske vode su pravna osoba osnovan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>a Zakonom o vodama, za obavljanje poslova upravljanja vodama. Sukladno odredbi članka 16.Zakona o vodama (Nar.nov.br.153/09, 36/11, 130/11, 56/13) Ugovor o pravu građenja na javnom vodnom dobru sklapaju Hrvatske vode u ime Republike Hrvatske.</w:t>
      </w:r>
    </w:p>
    <w:p w:rsidR="008808E4" w:rsidRPr="008808E4" w:rsidRDefault="00F150B2" w:rsidP="008808E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3"/>
          <w:lang w:eastAsia="en-US"/>
        </w:rPr>
      </w:pPr>
    </w:p>
    <w:p w:rsidR="008808E4" w:rsidRPr="008808E4" w:rsidRDefault="00F150B2" w:rsidP="008808E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3"/>
          <w:lang w:eastAsia="en-US"/>
        </w:rPr>
      </w:pP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ab/>
        <w:t>4. Sporazum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 xml:space="preserve"> o zajedničkoj suradnji (prosinac 2014.) na realizaciji nastavka radova na regulaciji potoka Črnomerec, sabirnog kanala, geotehničkih građevina i servisnog puta u zoni potoka od Fraterščice do brane Črnomerec od 2014-2017. koji su zaključili Grad Zagreb za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>stupan po gradonačeniku Milanu Bandiću, trgovačko društvo Vodoopskrba i odvodnja, d.o.o. zastupano po Štefici Mihalić, direktorici i Hrvatske vode, pravna osoba za upravljanje vodama zastupana po generalnom direktoru mr.sc.Ivici Plišiću, dipl.ing.građ.</w:t>
      </w:r>
    </w:p>
    <w:p w:rsidR="008808E4" w:rsidRPr="008808E4" w:rsidRDefault="00F150B2" w:rsidP="008808E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3"/>
          <w:lang w:eastAsia="en-US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ab/>
      </w:r>
      <w:r w:rsidRPr="008808E4">
        <w:rPr>
          <w:rFonts w:ascii="Times New Roman" w:eastAsia="Times New Roman" w:hAnsi="Times New Roman" w:cs="Times New Roman"/>
          <w:color w:val="000000"/>
        </w:rPr>
        <w:t>U postupku izdavanja građevinske dozvole utvrđeno je da su uz zahtjev priloženi svi propisani dokumenti iz članka 108. stavak 2. Zakona o gradnji. Uvidom u glavni projekt utvrđeno je da je taj projekt izrađen u skladu s Lokacijskom dozvolom Klasa: UP/I-350</w:t>
      </w:r>
      <w:r w:rsidRPr="008808E4">
        <w:rPr>
          <w:rFonts w:ascii="Times New Roman" w:eastAsia="Times New Roman" w:hAnsi="Times New Roman" w:cs="Times New Roman"/>
          <w:color w:val="000000"/>
        </w:rPr>
        <w:t>-05/15-01/116, Urbroj: 251-13-21/108-2015-22 od 27. 7. 2015. godine. Također je utvrđeno da je glavni projekt izradila ovlaštena osoba, da je propisano označen, te izrađen na način da je onemogućena promjena njegova sadržaja odnosno zamjena njegovih dijelo</w:t>
      </w:r>
      <w:r w:rsidRPr="008808E4">
        <w:rPr>
          <w:rFonts w:ascii="Times New Roman" w:eastAsia="Times New Roman" w:hAnsi="Times New Roman" w:cs="Times New Roman"/>
          <w:color w:val="000000"/>
        </w:rPr>
        <w:t xml:space="preserve">va. 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3"/>
          <w:lang w:eastAsia="en-US"/>
        </w:rPr>
      </w:pP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ab/>
        <w:t>Sukladno odredbi članka 22. Zakona o vodama st. 3. i 4. vodne građevine od interesa su za Republiku Hrvatsku te je i građenje i održavanje vodnih građevina iz tog članka u interesu Republike Hrvatske. Stranke u ovom postupku su, temeljem odredbe čl.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 xml:space="preserve"> 115. st. 3. Zakona o gradnji investitor, vlasnik nekretnine za koju se izdaje građevinska dozvola i nositelj drugih stvarnih prava na toj nekretnini. Trgovačko društvo Hrvatske vode d. o. o., kao pravna osoba osnovana za obavljanje poslova upravljanja vod</w:t>
      </w:r>
      <w:r w:rsidRPr="008808E4">
        <w:rPr>
          <w:rFonts w:ascii="Times New Roman" w:eastAsia="Times New Roman" w:hAnsi="Times New Roman" w:cs="Times New Roman"/>
          <w:noProof/>
          <w:spacing w:val="-3"/>
          <w:lang w:eastAsia="en-US"/>
        </w:rPr>
        <w:t xml:space="preserve">ama se Rješenjem navedenim u točki 3. suglasila s predmetnom gradnjom. </w:t>
      </w:r>
    </w:p>
    <w:p w:rsidR="008808E4" w:rsidRPr="008808E4" w:rsidRDefault="00F150B2" w:rsidP="008808E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3"/>
          <w:lang w:eastAsia="en-US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 xml:space="preserve">Slijedom iznesenoga, a temeljem odredbe članka 110. stavak 1. Zakona o gradnji, odlučeno je kao u izreci ove građevinske dozvole. 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Utvrđenje iz toč. 2. izreke temelji se na odredbi č</w:t>
      </w:r>
      <w:r w:rsidRPr="008808E4">
        <w:rPr>
          <w:rFonts w:ascii="Times New Roman" w:eastAsia="Times New Roman" w:hAnsi="Times New Roman" w:cs="Times New Roman"/>
          <w:color w:val="000000"/>
        </w:rPr>
        <w:t xml:space="preserve">l. 123. st 1., utvrđenje iz toč. 3. izreke na odredbi čl. 131. st. 1., a utvrđenje iz točke 4. na odredbi čl. 107. st. 2. Zakona o gradnji.  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808E4">
        <w:rPr>
          <w:rFonts w:ascii="Times New Roman" w:eastAsia="Times New Roman" w:hAnsi="Times New Roman" w:cs="Times New Roman"/>
          <w:b/>
          <w:bCs/>
          <w:color w:val="000000"/>
        </w:rPr>
        <w:t>UPUTA O PRAVNOM LIJEKU: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 xml:space="preserve">Protiv ove građevinske dozvole može se izjaviti žalba Ministarstvu graditeljstva i prostornoga uređenja, Zagreb, Ulica Republike Austrije 20, u roku od 15 dana od  dana primitka. 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 xml:space="preserve">Žalba se predaje neposredno ili šalje poštom ovom Uredu, a može se izjaviti </w:t>
      </w:r>
      <w:r w:rsidRPr="008808E4">
        <w:rPr>
          <w:rFonts w:ascii="Times New Roman" w:eastAsia="Times New Roman" w:hAnsi="Times New Roman" w:cs="Times New Roman"/>
          <w:color w:val="000000"/>
        </w:rPr>
        <w:t>i na zapisnik, uz pristojbu od 50,00 Kn državnih biljega prema Tbr. 3. Tarife upravnih pristojbi (NN br. 8/96 do 40/14)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8E4">
        <w:rPr>
          <w:rFonts w:ascii="Times New Roman" w:eastAsia="Times New Roman" w:hAnsi="Times New Roman" w:cs="Times New Roman"/>
          <w:color w:val="000000"/>
          <w:sz w:val="24"/>
          <w:szCs w:val="24"/>
        </w:rPr>
        <w:t>Investitor je prema čl. 6. Zakona o upravnim pristojbama (NN 88/96 do 40/14) oslobođen plaćanja pristojbi.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Viši upravni savjetnik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Go</w:t>
      </w:r>
      <w:r w:rsidRPr="008808E4">
        <w:rPr>
          <w:rFonts w:ascii="Times New Roman" w:eastAsia="Times New Roman" w:hAnsi="Times New Roman" w:cs="Times New Roman"/>
          <w:color w:val="000000"/>
        </w:rPr>
        <w:t>rdan Ciglar, dipl. ing. arh.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DOSTAVITI: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1. Alan Ordulj, ovdje (za Grad Zagreb)</w:t>
      </w:r>
    </w:p>
    <w:p w:rsidR="008808E4" w:rsidRPr="008808E4" w:rsidRDefault="00F150B2" w:rsidP="00880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2. Hrvatske vode d. o. o., Zagreb, Ulica grada Vukovara 271/VIII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3. Dokumentacija prostora – ovdje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4. Evidencija, ovdje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5. Arhiva, ovdje.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ab/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NA ZNANJE: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 xml:space="preserve">1. Sektor za postupak izrade i donošenja dokumenata prostornog uređenja, Zagreb, Republike 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Austrije 18.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2. Odjel za komunalne poslove – ovdje (po izvršnosti)</w:t>
      </w: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8E4">
        <w:rPr>
          <w:rFonts w:ascii="Times New Roman" w:eastAsia="Times New Roman" w:hAnsi="Times New Roman" w:cs="Times New Roman"/>
          <w:color w:val="000000"/>
        </w:rPr>
        <w:t>3. Hrvatske vode, Vodnogospodarski odjel za slivno područje Grada Zagreba, Zagreb, Ulica grada Vu</w:t>
      </w:r>
      <w:r w:rsidRPr="008808E4">
        <w:rPr>
          <w:rFonts w:ascii="Times New Roman" w:eastAsia="Times New Roman" w:hAnsi="Times New Roman" w:cs="Times New Roman"/>
          <w:color w:val="000000"/>
        </w:rPr>
        <w:t>kovara 271. (po izvršnosti)</w:t>
      </w:r>
    </w:p>
    <w:p w:rsidR="008808E4" w:rsidRPr="008808E4" w:rsidRDefault="00F150B2" w:rsidP="008808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08E4" w:rsidRPr="008808E4" w:rsidRDefault="00F150B2" w:rsidP="0088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F0C98" w:rsidRPr="008211C4" w:rsidRDefault="00F150B2" w:rsidP="000F3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F0C98" w:rsidRPr="008211C4" w:rsidSect="00EB1130">
      <w:headerReference w:type="default" r:id="rId9"/>
      <w:footerReference w:type="default" r:id="rId10"/>
      <w:pgSz w:w="11906" w:h="16838"/>
      <w:pgMar w:top="1418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50B2">
      <w:pPr>
        <w:spacing w:after="0" w:line="240" w:lineRule="auto"/>
      </w:pPr>
      <w:r>
        <w:separator/>
      </w:r>
    </w:p>
  </w:endnote>
  <w:endnote w:type="continuationSeparator" w:id="0">
    <w:p w:rsidR="00000000" w:rsidRDefault="00F1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22B" w:rsidRDefault="00F150B2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50B2">
      <w:pPr>
        <w:spacing w:after="0" w:line="240" w:lineRule="auto"/>
      </w:pPr>
      <w:r>
        <w:separator/>
      </w:r>
    </w:p>
  </w:footnote>
  <w:footnote w:type="continuationSeparator" w:id="0">
    <w:p w:rsidR="00000000" w:rsidRDefault="00F1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22B" w:rsidRDefault="00F150B2">
    <w:pPr>
      <w:jc w:val="right"/>
    </w:pPr>
    <w:r>
      <w:t>UP/I-361-03/16-001/1289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25F5"/>
    <w:multiLevelType w:val="hybridMultilevel"/>
    <w:tmpl w:val="9B7C61E6"/>
    <w:lvl w:ilvl="0" w:tplc="8014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01CB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5CA7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E00AF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BCABB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C2B4A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68EA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4EE6A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D4626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BF3B62"/>
    <w:multiLevelType w:val="hybridMultilevel"/>
    <w:tmpl w:val="D2D48D94"/>
    <w:lvl w:ilvl="0" w:tplc="5DC608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FF45060" w:tentative="1">
      <w:start w:val="1"/>
      <w:numFmt w:val="lowerLetter"/>
      <w:lvlText w:val="%2."/>
      <w:lvlJc w:val="left"/>
      <w:pPr>
        <w:ind w:left="1440" w:hanging="360"/>
      </w:pPr>
    </w:lvl>
    <w:lvl w:ilvl="2" w:tplc="FA4E0F58" w:tentative="1">
      <w:start w:val="1"/>
      <w:numFmt w:val="lowerRoman"/>
      <w:lvlText w:val="%3."/>
      <w:lvlJc w:val="right"/>
      <w:pPr>
        <w:ind w:left="2160" w:hanging="180"/>
      </w:pPr>
    </w:lvl>
    <w:lvl w:ilvl="3" w:tplc="F968AD56" w:tentative="1">
      <w:start w:val="1"/>
      <w:numFmt w:val="decimal"/>
      <w:lvlText w:val="%4."/>
      <w:lvlJc w:val="left"/>
      <w:pPr>
        <w:ind w:left="2880" w:hanging="360"/>
      </w:pPr>
    </w:lvl>
    <w:lvl w:ilvl="4" w:tplc="546C2408" w:tentative="1">
      <w:start w:val="1"/>
      <w:numFmt w:val="lowerLetter"/>
      <w:lvlText w:val="%5."/>
      <w:lvlJc w:val="left"/>
      <w:pPr>
        <w:ind w:left="3600" w:hanging="360"/>
      </w:pPr>
    </w:lvl>
    <w:lvl w:ilvl="5" w:tplc="AEA8F694" w:tentative="1">
      <w:start w:val="1"/>
      <w:numFmt w:val="lowerRoman"/>
      <w:lvlText w:val="%6."/>
      <w:lvlJc w:val="right"/>
      <w:pPr>
        <w:ind w:left="4320" w:hanging="180"/>
      </w:pPr>
    </w:lvl>
    <w:lvl w:ilvl="6" w:tplc="1338D04A" w:tentative="1">
      <w:start w:val="1"/>
      <w:numFmt w:val="decimal"/>
      <w:lvlText w:val="%7."/>
      <w:lvlJc w:val="left"/>
      <w:pPr>
        <w:ind w:left="5040" w:hanging="360"/>
      </w:pPr>
    </w:lvl>
    <w:lvl w:ilvl="7" w:tplc="2D8E0150" w:tentative="1">
      <w:start w:val="1"/>
      <w:numFmt w:val="lowerLetter"/>
      <w:lvlText w:val="%8."/>
      <w:lvlJc w:val="left"/>
      <w:pPr>
        <w:ind w:left="5760" w:hanging="360"/>
      </w:pPr>
    </w:lvl>
    <w:lvl w:ilvl="8" w:tplc="BD5E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B7599"/>
    <w:multiLevelType w:val="hybridMultilevel"/>
    <w:tmpl w:val="7DE8B004"/>
    <w:lvl w:ilvl="0" w:tplc="0AC0A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EB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427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6E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EE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E23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48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C1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48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723F9"/>
    <w:multiLevelType w:val="hybridMultilevel"/>
    <w:tmpl w:val="83B2C0E6"/>
    <w:lvl w:ilvl="0" w:tplc="101E8F18">
      <w:start w:val="1"/>
      <w:numFmt w:val="decimal"/>
      <w:lvlText w:val="%1."/>
      <w:lvlJc w:val="left"/>
      <w:pPr>
        <w:ind w:left="720" w:hanging="360"/>
      </w:pPr>
    </w:lvl>
    <w:lvl w:ilvl="1" w:tplc="28327B78" w:tentative="1">
      <w:start w:val="1"/>
      <w:numFmt w:val="lowerLetter"/>
      <w:lvlText w:val="%2."/>
      <w:lvlJc w:val="left"/>
      <w:pPr>
        <w:ind w:left="1440" w:hanging="360"/>
      </w:pPr>
    </w:lvl>
    <w:lvl w:ilvl="2" w:tplc="23B2EA94" w:tentative="1">
      <w:start w:val="1"/>
      <w:numFmt w:val="lowerRoman"/>
      <w:lvlText w:val="%3."/>
      <w:lvlJc w:val="right"/>
      <w:pPr>
        <w:ind w:left="2160" w:hanging="180"/>
      </w:pPr>
    </w:lvl>
    <w:lvl w:ilvl="3" w:tplc="DB8C2164" w:tentative="1">
      <w:start w:val="1"/>
      <w:numFmt w:val="decimal"/>
      <w:lvlText w:val="%4."/>
      <w:lvlJc w:val="left"/>
      <w:pPr>
        <w:ind w:left="2880" w:hanging="360"/>
      </w:pPr>
    </w:lvl>
    <w:lvl w:ilvl="4" w:tplc="4C861296" w:tentative="1">
      <w:start w:val="1"/>
      <w:numFmt w:val="lowerLetter"/>
      <w:lvlText w:val="%5."/>
      <w:lvlJc w:val="left"/>
      <w:pPr>
        <w:ind w:left="3600" w:hanging="360"/>
      </w:pPr>
    </w:lvl>
    <w:lvl w:ilvl="5" w:tplc="88E8A150" w:tentative="1">
      <w:start w:val="1"/>
      <w:numFmt w:val="lowerRoman"/>
      <w:lvlText w:val="%6."/>
      <w:lvlJc w:val="right"/>
      <w:pPr>
        <w:ind w:left="4320" w:hanging="180"/>
      </w:pPr>
    </w:lvl>
    <w:lvl w:ilvl="6" w:tplc="289E891A" w:tentative="1">
      <w:start w:val="1"/>
      <w:numFmt w:val="decimal"/>
      <w:lvlText w:val="%7."/>
      <w:lvlJc w:val="left"/>
      <w:pPr>
        <w:ind w:left="5040" w:hanging="360"/>
      </w:pPr>
    </w:lvl>
    <w:lvl w:ilvl="7" w:tplc="312E3E52" w:tentative="1">
      <w:start w:val="1"/>
      <w:numFmt w:val="lowerLetter"/>
      <w:lvlText w:val="%8."/>
      <w:lvlJc w:val="left"/>
      <w:pPr>
        <w:ind w:left="5760" w:hanging="360"/>
      </w:pPr>
    </w:lvl>
    <w:lvl w:ilvl="8" w:tplc="4C666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8441C"/>
    <w:multiLevelType w:val="hybridMultilevel"/>
    <w:tmpl w:val="C548E900"/>
    <w:lvl w:ilvl="0" w:tplc="197AD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8227BE" w:tentative="1">
      <w:start w:val="1"/>
      <w:numFmt w:val="lowerLetter"/>
      <w:lvlText w:val="%2."/>
      <w:lvlJc w:val="left"/>
      <w:pPr>
        <w:ind w:left="1440" w:hanging="360"/>
      </w:pPr>
    </w:lvl>
    <w:lvl w:ilvl="2" w:tplc="FA82F34A" w:tentative="1">
      <w:start w:val="1"/>
      <w:numFmt w:val="lowerRoman"/>
      <w:lvlText w:val="%3."/>
      <w:lvlJc w:val="right"/>
      <w:pPr>
        <w:ind w:left="2160" w:hanging="180"/>
      </w:pPr>
    </w:lvl>
    <w:lvl w:ilvl="3" w:tplc="216A545C" w:tentative="1">
      <w:start w:val="1"/>
      <w:numFmt w:val="decimal"/>
      <w:lvlText w:val="%4."/>
      <w:lvlJc w:val="left"/>
      <w:pPr>
        <w:ind w:left="2880" w:hanging="360"/>
      </w:pPr>
    </w:lvl>
    <w:lvl w:ilvl="4" w:tplc="D0DE8B84" w:tentative="1">
      <w:start w:val="1"/>
      <w:numFmt w:val="lowerLetter"/>
      <w:lvlText w:val="%5."/>
      <w:lvlJc w:val="left"/>
      <w:pPr>
        <w:ind w:left="3600" w:hanging="360"/>
      </w:pPr>
    </w:lvl>
    <w:lvl w:ilvl="5" w:tplc="C8D04754" w:tentative="1">
      <w:start w:val="1"/>
      <w:numFmt w:val="lowerRoman"/>
      <w:lvlText w:val="%6."/>
      <w:lvlJc w:val="right"/>
      <w:pPr>
        <w:ind w:left="4320" w:hanging="180"/>
      </w:pPr>
    </w:lvl>
    <w:lvl w:ilvl="6" w:tplc="C77C9CC6" w:tentative="1">
      <w:start w:val="1"/>
      <w:numFmt w:val="decimal"/>
      <w:lvlText w:val="%7."/>
      <w:lvlJc w:val="left"/>
      <w:pPr>
        <w:ind w:left="5040" w:hanging="360"/>
      </w:pPr>
    </w:lvl>
    <w:lvl w:ilvl="7" w:tplc="03DED3C6" w:tentative="1">
      <w:start w:val="1"/>
      <w:numFmt w:val="lowerLetter"/>
      <w:lvlText w:val="%8."/>
      <w:lvlJc w:val="left"/>
      <w:pPr>
        <w:ind w:left="5760" w:hanging="360"/>
      </w:pPr>
    </w:lvl>
    <w:lvl w:ilvl="8" w:tplc="144A98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56"/>
    <w:rsid w:val="00E32356"/>
    <w:rsid w:val="00F1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11C4"/>
    <w:pPr>
      <w:ind w:left="720"/>
      <w:contextualSpacing/>
    </w:pPr>
    <w:rPr>
      <w:rFonts w:ascii="Calibri" w:eastAsia="Calibri" w:hAnsi="Calibri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11C4"/>
    <w:pPr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2017-02-07T13:40:00Z</dcterms:created>
  <dcterms:modified xsi:type="dcterms:W3CDTF">2017-02-07T13:40:00Z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2048327</vt:lpwstr>
  </property>
  <property fmtid="{D5CDD505-2E9C-101B-9397-08002B2CF9AE}" pid="3" name="DOKUMENT_UR_BROJ">
    <vt:lpwstr>251-13-22-1/050-17-4</vt:lpwstr>
  </property>
  <property fmtid="{D5CDD505-2E9C-101B-9397-08002B2CF9AE}" pid="4" name="DOZVOLA_ID">
    <vt:lpwstr>2003117</vt:lpwstr>
  </property>
  <property fmtid="{D5CDD505-2E9C-101B-9397-08002B2CF9AE}" pid="5" name="INTERNI_BROJ">
    <vt:lpwstr>5232B3784B4163F4B3A6BF03D10B8C93</vt:lpwstr>
  </property>
  <property fmtid="{D5CDD505-2E9C-101B-9397-08002B2CF9AE}" pid="6" name="PREDLOZAK_ID">
    <vt:lpwstr>16</vt:lpwstr>
  </property>
  <property fmtid="{D5CDD505-2E9C-101B-9397-08002B2CF9AE}" pid="7" name="USERNAME">
    <vt:lpwstr>vvila</vt:lpwstr>
  </property>
</Properties>
</file>